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73" w:rsidRPr="00946C39" w:rsidRDefault="00296773" w:rsidP="00296773">
      <w:pPr>
        <w:tabs>
          <w:tab w:val="right" w:pos="8789"/>
        </w:tabs>
        <w:autoSpaceDE w:val="0"/>
        <w:autoSpaceDN w:val="0"/>
        <w:adjustRightInd w:val="0"/>
        <w:rPr>
          <w:rFonts w:ascii="Arial Narrow" w:hAnsi="Arial Narrow"/>
          <w:sz w:val="16"/>
          <w:szCs w:val="20"/>
        </w:rPr>
      </w:pPr>
      <w:r>
        <w:rPr>
          <w:noProof/>
          <w:lang w:val="es-CL" w:eastAsia="es-CL"/>
        </w:rPr>
        <w:drawing>
          <wp:inline distT="0" distB="0" distL="0" distR="0">
            <wp:extent cx="1171575" cy="1238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BA">
        <w:rPr>
          <w:noProof/>
          <w:lang w:val="es-CL" w:eastAsia="es-CL"/>
        </w:rPr>
        <w:drawing>
          <wp:inline distT="0" distB="0" distL="0" distR="0">
            <wp:extent cx="1285875" cy="1209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noProof/>
          <w:sz w:val="20"/>
          <w:szCs w:val="20"/>
        </w:rPr>
        <w:tab/>
      </w:r>
    </w:p>
    <w:p w:rsidR="00296773" w:rsidRPr="00946C39" w:rsidRDefault="00296773" w:rsidP="00296773">
      <w:pPr>
        <w:tabs>
          <w:tab w:val="right" w:pos="8845"/>
        </w:tabs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296773" w:rsidRDefault="00296773" w:rsidP="00296773">
      <w:pPr>
        <w:tabs>
          <w:tab w:val="right" w:pos="8845"/>
        </w:tabs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296773" w:rsidRDefault="00296773" w:rsidP="00296773">
      <w:pPr>
        <w:tabs>
          <w:tab w:val="right" w:pos="8845"/>
        </w:tabs>
        <w:autoSpaceDE w:val="0"/>
        <w:autoSpaceDN w:val="0"/>
        <w:adjustRightInd w:val="0"/>
        <w:rPr>
          <w:rFonts w:ascii="Arial Narrow" w:hAnsi="Arial Narrow"/>
          <w:sz w:val="16"/>
          <w:szCs w:val="20"/>
        </w:rPr>
      </w:pPr>
      <w:r>
        <w:rPr>
          <w:rFonts w:ascii="Arial Narrow" w:hAnsi="Arial Narrow"/>
          <w:sz w:val="16"/>
          <w:szCs w:val="20"/>
        </w:rPr>
        <w:t>ALFREDO ENRIONE C.</w:t>
      </w:r>
    </w:p>
    <w:p w:rsidR="00296773" w:rsidRDefault="00296773" w:rsidP="00296773">
      <w:pPr>
        <w:tabs>
          <w:tab w:val="right" w:pos="8845"/>
        </w:tabs>
        <w:autoSpaceDE w:val="0"/>
        <w:autoSpaceDN w:val="0"/>
        <w:adjustRightInd w:val="0"/>
        <w:rPr>
          <w:rFonts w:ascii="Arial Narrow" w:hAnsi="Arial Narrow"/>
          <w:sz w:val="16"/>
          <w:szCs w:val="20"/>
        </w:rPr>
      </w:pPr>
      <w:r>
        <w:rPr>
          <w:rFonts w:ascii="Arial Narrow" w:hAnsi="Arial Narrow"/>
          <w:sz w:val="16"/>
          <w:szCs w:val="20"/>
        </w:rPr>
        <w:t>DIRECTOR CENTRO GOBIERNO CORPORATIVO Y SOCIEDAD</w:t>
      </w:r>
    </w:p>
    <w:p w:rsidR="00296773" w:rsidRPr="00FE2267" w:rsidRDefault="00296773" w:rsidP="00296773">
      <w:pPr>
        <w:autoSpaceDE w:val="0"/>
        <w:autoSpaceDN w:val="0"/>
        <w:adjustRightInd w:val="0"/>
        <w:ind w:firstLine="284"/>
        <w:jc w:val="both"/>
        <w:rPr>
          <w:szCs w:val="28"/>
        </w:rPr>
      </w:pPr>
    </w:p>
    <w:p w:rsidR="00296773" w:rsidRDefault="00296773" w:rsidP="00296773">
      <w:pPr>
        <w:autoSpaceDE w:val="0"/>
        <w:autoSpaceDN w:val="0"/>
        <w:adjustRightInd w:val="0"/>
        <w:ind w:firstLine="284"/>
        <w:jc w:val="both"/>
        <w:rPr>
          <w:szCs w:val="28"/>
        </w:rPr>
      </w:pPr>
    </w:p>
    <w:p w:rsidR="00296773" w:rsidRPr="00FE2267" w:rsidRDefault="00296773" w:rsidP="00296773">
      <w:pPr>
        <w:autoSpaceDE w:val="0"/>
        <w:autoSpaceDN w:val="0"/>
        <w:adjustRightInd w:val="0"/>
        <w:ind w:firstLine="284"/>
        <w:jc w:val="both"/>
        <w:rPr>
          <w:szCs w:val="28"/>
        </w:rPr>
      </w:pPr>
    </w:p>
    <w:p w:rsidR="00296773" w:rsidRPr="00FC281C" w:rsidRDefault="00296773" w:rsidP="00296773">
      <w:pPr>
        <w:autoSpaceDE w:val="0"/>
        <w:autoSpaceDN w:val="0"/>
        <w:adjustRightInd w:val="0"/>
        <w:rPr>
          <w:b/>
          <w:bCs/>
          <w:sz w:val="40"/>
          <w:szCs w:val="40"/>
          <w:lang w:val="es-CL"/>
        </w:rPr>
      </w:pPr>
      <w:r>
        <w:rPr>
          <w:b/>
          <w:bCs/>
          <w:sz w:val="40"/>
          <w:szCs w:val="40"/>
          <w:lang w:val="es-CL"/>
        </w:rPr>
        <w:t xml:space="preserve">“China, </w:t>
      </w:r>
      <w:proofErr w:type="spellStart"/>
      <w:r>
        <w:rPr>
          <w:b/>
          <w:bCs/>
          <w:sz w:val="40"/>
          <w:szCs w:val="40"/>
          <w:lang w:val="es-CL"/>
        </w:rPr>
        <w:t>Tianqi</w:t>
      </w:r>
      <w:proofErr w:type="spellEnd"/>
      <w:r>
        <w:rPr>
          <w:b/>
          <w:bCs/>
          <w:sz w:val="40"/>
          <w:szCs w:val="40"/>
          <w:lang w:val="es-CL"/>
        </w:rPr>
        <w:t xml:space="preserve"> y el nuevo orden mundial”</w:t>
      </w:r>
    </w:p>
    <w:p w:rsidR="00296773" w:rsidRDefault="00296773" w:rsidP="00296773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es-CL"/>
        </w:rPr>
      </w:pPr>
      <w:r>
        <w:rPr>
          <w:b/>
          <w:bCs/>
          <w:sz w:val="20"/>
          <w:szCs w:val="20"/>
          <w:lang w:val="es-CL"/>
        </w:rPr>
        <w:br/>
      </w:r>
    </w:p>
    <w:p w:rsidR="00296773" w:rsidRPr="002C7FD4" w:rsidRDefault="00296773" w:rsidP="00296773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es-CL"/>
        </w:rPr>
      </w:pPr>
      <w:r>
        <w:rPr>
          <w:b/>
          <w:bCs/>
          <w:sz w:val="20"/>
          <w:szCs w:val="20"/>
          <w:lang w:val="es-CL"/>
        </w:rPr>
        <w:t>El Mercurio</w:t>
      </w:r>
      <w:r>
        <w:rPr>
          <w:b/>
          <w:bCs/>
          <w:sz w:val="20"/>
          <w:szCs w:val="20"/>
          <w:lang w:val="es-CL"/>
        </w:rPr>
        <w:br/>
      </w:r>
      <w:r>
        <w:rPr>
          <w:b/>
          <w:bCs/>
          <w:sz w:val="20"/>
          <w:szCs w:val="20"/>
          <w:lang w:val="es-CL"/>
        </w:rPr>
        <w:t>6 de noviembre</w:t>
      </w:r>
      <w:r>
        <w:rPr>
          <w:b/>
          <w:bCs/>
          <w:sz w:val="20"/>
          <w:szCs w:val="20"/>
          <w:lang w:val="es-CL"/>
        </w:rPr>
        <w:t xml:space="preserve"> de 2018</w:t>
      </w:r>
    </w:p>
    <w:p w:rsidR="00296773" w:rsidRDefault="00296773" w:rsidP="00296773">
      <w:pPr>
        <w:autoSpaceDE w:val="0"/>
        <w:autoSpaceDN w:val="0"/>
        <w:adjustRightInd w:val="0"/>
        <w:ind w:firstLine="284"/>
        <w:jc w:val="both"/>
        <w:rPr>
          <w:sz w:val="22"/>
          <w:szCs w:val="22"/>
          <w:lang w:val="es-CL"/>
        </w:rPr>
      </w:pPr>
    </w:p>
    <w:p w:rsidR="00296773" w:rsidRPr="00296773" w:rsidRDefault="00296773" w:rsidP="00296773">
      <w:pPr>
        <w:autoSpaceDE w:val="0"/>
        <w:autoSpaceDN w:val="0"/>
        <w:adjustRightInd w:val="0"/>
        <w:jc w:val="both"/>
        <w:rPr>
          <w:sz w:val="22"/>
          <w:szCs w:val="22"/>
          <w:lang w:val="es-CL"/>
        </w:rPr>
      </w:pPr>
    </w:p>
    <w:p w:rsidR="00281D4C" w:rsidRPr="00296773" w:rsidRDefault="00296773">
      <w:pPr>
        <w:rPr>
          <w:lang w:val="es-CL"/>
        </w:rPr>
      </w:pPr>
      <w:r w:rsidRPr="00296773">
        <w:rPr>
          <w:color w:val="000000"/>
          <w:sz w:val="20"/>
          <w:szCs w:val="20"/>
        </w:rPr>
        <w:t>China comprende muy bien que para convertirse en la primera potencia mundial no basta con el tamaño de su economía, su población o su arsenal de defensa. Si quiere el lugar que considera que le corresponde históricamente, también debe gravitar en las instituciones multilaterales y en los mercados globales.</w:t>
      </w:r>
      <w:r w:rsidRPr="00296773">
        <w:rPr>
          <w:color w:val="000000"/>
          <w:sz w:val="20"/>
          <w:szCs w:val="20"/>
        </w:rPr>
        <w:br/>
      </w:r>
      <w:bookmarkStart w:id="0" w:name="_GoBack"/>
      <w:bookmarkEnd w:id="0"/>
      <w:r w:rsidRPr="00296773">
        <w:rPr>
          <w:color w:val="000000"/>
          <w:sz w:val="20"/>
          <w:szCs w:val="20"/>
        </w:rPr>
        <w:br/>
        <w:t xml:space="preserve">Es así como poco a poco ha ido desplegando las nuevas instituciones que reemplazarán al Banco Mundial, el FMI y la OMC, históricamente dominadas por EEUU. El </w:t>
      </w:r>
      <w:proofErr w:type="spellStart"/>
      <w:r w:rsidRPr="00296773">
        <w:rPr>
          <w:color w:val="000000"/>
          <w:sz w:val="20"/>
          <w:szCs w:val="20"/>
        </w:rPr>
        <w:t>Asian</w:t>
      </w:r>
      <w:proofErr w:type="spellEnd"/>
      <w:r w:rsidRPr="00296773">
        <w:rPr>
          <w:color w:val="000000"/>
          <w:sz w:val="20"/>
          <w:szCs w:val="20"/>
        </w:rPr>
        <w:t xml:space="preserve"> </w:t>
      </w:r>
      <w:proofErr w:type="spellStart"/>
      <w:r w:rsidRPr="00296773">
        <w:rPr>
          <w:color w:val="000000"/>
          <w:sz w:val="20"/>
          <w:szCs w:val="20"/>
        </w:rPr>
        <w:t>Infrastructure</w:t>
      </w:r>
      <w:proofErr w:type="spellEnd"/>
      <w:r w:rsidRPr="00296773">
        <w:rPr>
          <w:color w:val="000000"/>
          <w:sz w:val="20"/>
          <w:szCs w:val="20"/>
        </w:rPr>
        <w:t xml:space="preserve"> </w:t>
      </w:r>
      <w:proofErr w:type="spellStart"/>
      <w:r w:rsidRPr="00296773">
        <w:rPr>
          <w:color w:val="000000"/>
          <w:sz w:val="20"/>
          <w:szCs w:val="20"/>
        </w:rPr>
        <w:t>Investment</w:t>
      </w:r>
      <w:proofErr w:type="spellEnd"/>
      <w:r w:rsidRPr="00296773">
        <w:rPr>
          <w:color w:val="000000"/>
          <w:sz w:val="20"/>
          <w:szCs w:val="20"/>
        </w:rPr>
        <w:t xml:space="preserve"> Bank y el </w:t>
      </w:r>
      <w:proofErr w:type="spellStart"/>
      <w:r w:rsidRPr="00296773">
        <w:rPr>
          <w:color w:val="000000"/>
          <w:sz w:val="20"/>
          <w:szCs w:val="20"/>
        </w:rPr>
        <w:t>Belt</w:t>
      </w:r>
      <w:proofErr w:type="spellEnd"/>
      <w:r w:rsidRPr="00296773">
        <w:rPr>
          <w:color w:val="000000"/>
          <w:sz w:val="20"/>
          <w:szCs w:val="20"/>
        </w:rPr>
        <w:t xml:space="preserve"> and Road </w:t>
      </w:r>
      <w:proofErr w:type="spellStart"/>
      <w:r w:rsidRPr="00296773">
        <w:rPr>
          <w:color w:val="000000"/>
          <w:sz w:val="20"/>
          <w:szCs w:val="20"/>
        </w:rPr>
        <w:t>Initiative</w:t>
      </w:r>
      <w:proofErr w:type="spellEnd"/>
      <w:r w:rsidRPr="00296773">
        <w:rPr>
          <w:color w:val="000000"/>
          <w:sz w:val="20"/>
          <w:szCs w:val="20"/>
        </w:rPr>
        <w:t xml:space="preserve"> (o nueva Ruta de la Seda) son claros ejemplos de esta estrategia.</w:t>
      </w:r>
      <w:r w:rsidRPr="00296773">
        <w:rPr>
          <w:color w:val="000000"/>
          <w:sz w:val="20"/>
          <w:szCs w:val="20"/>
        </w:rPr>
        <w:br/>
      </w:r>
      <w:r w:rsidRPr="00296773">
        <w:rPr>
          <w:color w:val="000000"/>
          <w:sz w:val="20"/>
          <w:szCs w:val="20"/>
        </w:rPr>
        <w:br/>
        <w:t xml:space="preserve">La entrada de </w:t>
      </w:r>
      <w:proofErr w:type="spellStart"/>
      <w:r w:rsidRPr="00296773">
        <w:rPr>
          <w:color w:val="000000"/>
          <w:sz w:val="20"/>
          <w:szCs w:val="20"/>
        </w:rPr>
        <w:t>Tianqi</w:t>
      </w:r>
      <w:proofErr w:type="spellEnd"/>
      <w:r w:rsidRPr="00296773">
        <w:rPr>
          <w:color w:val="000000"/>
          <w:sz w:val="20"/>
          <w:szCs w:val="20"/>
        </w:rPr>
        <w:t xml:space="preserve"> a SQM no fue solo parte de una ambiciosa estrategia empresarial, es </w:t>
      </w:r>
      <w:proofErr w:type="spellStart"/>
      <w:r w:rsidRPr="00296773">
        <w:rPr>
          <w:color w:val="000000"/>
          <w:sz w:val="20"/>
          <w:szCs w:val="20"/>
        </w:rPr>
        <w:t>tambièn</w:t>
      </w:r>
      <w:proofErr w:type="spellEnd"/>
      <w:r w:rsidRPr="00296773">
        <w:rPr>
          <w:color w:val="000000"/>
          <w:sz w:val="20"/>
          <w:szCs w:val="20"/>
        </w:rPr>
        <w:t xml:space="preserve"> la realización de una política de Estado. Con ella, ahora controla más de la mitad de la producción de litio a nivel mundial. </w:t>
      </w:r>
      <w:r w:rsidRPr="00296773">
        <w:rPr>
          <w:color w:val="000000"/>
          <w:sz w:val="20"/>
          <w:szCs w:val="20"/>
        </w:rPr>
        <w:br/>
      </w:r>
      <w:r w:rsidRPr="00296773">
        <w:rPr>
          <w:color w:val="000000"/>
          <w:sz w:val="20"/>
          <w:szCs w:val="20"/>
        </w:rPr>
        <w:br/>
        <w:t>De igual forma, y en este mismo momento, desde China se pavimentan las pistas de aterrizaje para seguir invirtiendo en Chile en la minería, alimentos y otros sectores estratégicos.</w:t>
      </w:r>
      <w:r w:rsidRPr="00296773">
        <w:rPr>
          <w:color w:val="000000"/>
          <w:sz w:val="20"/>
          <w:szCs w:val="20"/>
        </w:rPr>
        <w:br/>
      </w:r>
      <w:r w:rsidRPr="00296773">
        <w:rPr>
          <w:color w:val="000000"/>
          <w:sz w:val="20"/>
          <w:szCs w:val="20"/>
        </w:rPr>
        <w:br/>
        <w:t>Por primera vez desde la Segunda Guerra Mundial, el liderazgo mundial está verdaderamente en disputa y los rivales son formidables. Sería ingenuo pensar que Chile estará ajeno a sus efectos.</w:t>
      </w:r>
    </w:p>
    <w:sectPr w:rsidR="00281D4C" w:rsidRPr="00296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73"/>
    <w:rsid w:val="00281D4C"/>
    <w:rsid w:val="0029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6614"/>
  <w15:chartTrackingRefBased/>
  <w15:docId w15:val="{042931D8-C4B9-4C11-8D20-A806ACDA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9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Berner Gomez</dc:creator>
  <cp:keywords/>
  <dc:description/>
  <cp:lastModifiedBy>Catalina Berner Gomez</cp:lastModifiedBy>
  <cp:revision>1</cp:revision>
  <dcterms:created xsi:type="dcterms:W3CDTF">2018-11-09T12:51:00Z</dcterms:created>
  <dcterms:modified xsi:type="dcterms:W3CDTF">2018-11-09T12:53:00Z</dcterms:modified>
</cp:coreProperties>
</file>